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14C" w:rsidRPr="009E014C" w:rsidRDefault="009E014C" w:rsidP="009E014C">
      <w:pPr>
        <w:jc w:val="center"/>
        <w:rPr>
          <w:b/>
          <w:sz w:val="24"/>
          <w:u w:val="single"/>
          <w:lang w:val="en" w:eastAsia="en-GB"/>
        </w:rPr>
      </w:pPr>
      <w:r w:rsidRPr="009E014C">
        <w:rPr>
          <w:b/>
          <w:sz w:val="24"/>
          <w:u w:val="single"/>
          <w:lang w:val="en" w:eastAsia="en-GB"/>
        </w:rPr>
        <w:t>Ashton on Mersey SCITT</w:t>
      </w:r>
    </w:p>
    <w:p w:rsidR="009E014C" w:rsidRPr="009E014C" w:rsidRDefault="009E014C" w:rsidP="009E014C">
      <w:pPr>
        <w:jc w:val="center"/>
        <w:rPr>
          <w:b/>
          <w:sz w:val="24"/>
          <w:u w:val="single"/>
          <w:lang w:val="en" w:eastAsia="en-GB"/>
        </w:rPr>
      </w:pPr>
      <w:r w:rsidRPr="009E014C">
        <w:rPr>
          <w:b/>
          <w:sz w:val="24"/>
          <w:u w:val="single"/>
          <w:lang w:val="en" w:eastAsia="en-GB"/>
        </w:rPr>
        <w:t>Teacher Training Bursary Policy</w:t>
      </w:r>
    </w:p>
    <w:p w:rsidR="009E014C" w:rsidRDefault="009E014C" w:rsidP="009E014C">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u w:val="single"/>
        </w:rPr>
        <w:t>Author: S Buckley</w:t>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sidRPr="003D18CB">
        <w:rPr>
          <w:rFonts w:cs="Arial"/>
          <w:b/>
          <w:bCs/>
          <w:iCs/>
          <w:color w:val="000000"/>
          <w:sz w:val="24"/>
          <w:szCs w:val="24"/>
          <w:u w:val="single"/>
        </w:rPr>
        <w:t xml:space="preserve">Date written/amended </w:t>
      </w:r>
      <w:r>
        <w:rPr>
          <w:rFonts w:cs="Arial"/>
          <w:b/>
          <w:bCs/>
          <w:iCs/>
          <w:color w:val="000000"/>
          <w:sz w:val="24"/>
          <w:szCs w:val="24"/>
          <w:u w:val="single"/>
        </w:rPr>
        <w:t>10</w:t>
      </w:r>
      <w:r w:rsidRPr="00D9531E">
        <w:rPr>
          <w:rFonts w:cs="Arial"/>
          <w:b/>
          <w:bCs/>
          <w:iCs/>
          <w:color w:val="000000"/>
          <w:sz w:val="24"/>
          <w:szCs w:val="24"/>
          <w:u w:val="single"/>
          <w:vertAlign w:val="superscript"/>
        </w:rPr>
        <w:t>th</w:t>
      </w:r>
      <w:r w:rsidR="00CE4622">
        <w:rPr>
          <w:rFonts w:cs="Arial"/>
          <w:b/>
          <w:bCs/>
          <w:iCs/>
          <w:color w:val="000000"/>
          <w:sz w:val="24"/>
          <w:szCs w:val="24"/>
          <w:u w:val="single"/>
        </w:rPr>
        <w:t xml:space="preserve"> January 2018</w:t>
      </w:r>
    </w:p>
    <w:p w:rsidR="009E014C" w:rsidRPr="003D18CB" w:rsidRDefault="009E014C" w:rsidP="009E014C">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u w:val="single"/>
        </w:rPr>
        <w:t>Date of next review: 10</w:t>
      </w:r>
      <w:r w:rsidRPr="00D9531E">
        <w:rPr>
          <w:rFonts w:cs="Arial"/>
          <w:b/>
          <w:bCs/>
          <w:iCs/>
          <w:color w:val="000000"/>
          <w:sz w:val="24"/>
          <w:szCs w:val="24"/>
          <w:u w:val="single"/>
          <w:vertAlign w:val="superscript"/>
        </w:rPr>
        <w:t>th</w:t>
      </w:r>
      <w:r w:rsidR="00CE4622">
        <w:rPr>
          <w:rFonts w:cs="Arial"/>
          <w:b/>
          <w:bCs/>
          <w:iCs/>
          <w:color w:val="000000"/>
          <w:sz w:val="24"/>
          <w:szCs w:val="24"/>
          <w:u w:val="single"/>
        </w:rPr>
        <w:t xml:space="preserve"> January 2019</w:t>
      </w:r>
      <w:bookmarkStart w:id="0" w:name="_GoBack"/>
      <w:bookmarkEnd w:id="0"/>
    </w:p>
    <w:p w:rsidR="009E014C" w:rsidRDefault="009E014C" w:rsidP="009E014C">
      <w:pPr>
        <w:rPr>
          <w:rFonts w:ascii="freight-sans-pro" w:eastAsia="Times New Roman" w:hAnsi="freight-sans-pro" w:cs="Arial"/>
          <w:color w:val="4A4A4A"/>
          <w:sz w:val="24"/>
          <w:szCs w:val="24"/>
          <w:lang w:val="en" w:eastAsia="en-GB"/>
        </w:rPr>
      </w:pPr>
    </w:p>
    <w:p w:rsidR="00D92018" w:rsidRDefault="00D92018" w:rsidP="009E014C">
      <w:pPr>
        <w:rPr>
          <w:lang w:val="en" w:eastAsia="en-GB"/>
        </w:rPr>
      </w:pPr>
      <w:r>
        <w:rPr>
          <w:lang w:val="en" w:eastAsia="en-GB"/>
        </w:rPr>
        <w:t>Students who qualify for training bursaries in accordance with National College for Teaching &amp; Leadership (NCTL) guidelines in force at the time of enrolment will be paid in accordance with those guidelines.</w:t>
      </w:r>
    </w:p>
    <w:p w:rsidR="00D92018" w:rsidRDefault="00D92018" w:rsidP="009E014C">
      <w:pPr>
        <w:rPr>
          <w:lang w:val="en" w:eastAsia="en-GB"/>
        </w:rPr>
      </w:pPr>
      <w:r>
        <w:rPr>
          <w:lang w:val="en" w:eastAsia="en-GB"/>
        </w:rPr>
        <w:t>Bursary awards of £12,000 or less will be paid in ten equal monthly instalments commencing in October, paid on or before the 5</w:t>
      </w:r>
      <w:r w:rsidRPr="003C1046">
        <w:rPr>
          <w:vertAlign w:val="superscript"/>
          <w:lang w:val="en" w:eastAsia="en-GB"/>
        </w:rPr>
        <w:t>th</w:t>
      </w:r>
      <w:r w:rsidR="007C2C5C">
        <w:rPr>
          <w:lang w:val="en" w:eastAsia="en-GB"/>
        </w:rPr>
        <w:t xml:space="preserve"> working day of each month to a nominated bank or building society account</w:t>
      </w:r>
      <w:r>
        <w:rPr>
          <w:lang w:val="en" w:eastAsia="en-GB"/>
        </w:rPr>
        <w:t xml:space="preserve"> as follows:</w:t>
      </w:r>
    </w:p>
    <w:tbl>
      <w:tblPr>
        <w:tblStyle w:val="TableGrid"/>
        <w:tblW w:w="0" w:type="auto"/>
        <w:jc w:val="center"/>
        <w:tblLook w:val="04A0" w:firstRow="1" w:lastRow="0" w:firstColumn="1" w:lastColumn="0" w:noHBand="0" w:noVBand="1"/>
      </w:tblPr>
      <w:tblGrid>
        <w:gridCol w:w="2122"/>
        <w:gridCol w:w="3969"/>
      </w:tblGrid>
      <w:tr w:rsidR="00D92018" w:rsidRPr="00033C28" w:rsidTr="009E014C">
        <w:trPr>
          <w:jc w:val="center"/>
        </w:trPr>
        <w:tc>
          <w:tcPr>
            <w:tcW w:w="2122" w:type="dxa"/>
          </w:tcPr>
          <w:p w:rsidR="00D92018" w:rsidRPr="00033C28" w:rsidRDefault="00D92018" w:rsidP="009E014C">
            <w:pPr>
              <w:rPr>
                <w:lang w:val="en" w:eastAsia="en-GB"/>
              </w:rPr>
            </w:pPr>
            <w:r w:rsidRPr="00033C28">
              <w:rPr>
                <w:lang w:val="en" w:eastAsia="en-GB"/>
              </w:rPr>
              <w:t>Bursary award</w:t>
            </w:r>
          </w:p>
        </w:tc>
        <w:tc>
          <w:tcPr>
            <w:tcW w:w="3969" w:type="dxa"/>
          </w:tcPr>
          <w:p w:rsidR="00D92018" w:rsidRPr="00033C28" w:rsidRDefault="00D92018" w:rsidP="009E014C">
            <w:pPr>
              <w:rPr>
                <w:lang w:val="en" w:eastAsia="en-GB"/>
              </w:rPr>
            </w:pPr>
            <w:r w:rsidRPr="00033C28">
              <w:rPr>
                <w:lang w:val="en" w:eastAsia="en-GB"/>
              </w:rPr>
              <w:t>Value of monthly instalments (commencing in October)</w:t>
            </w:r>
          </w:p>
        </w:tc>
      </w:tr>
      <w:tr w:rsidR="00D92018" w:rsidTr="009E014C">
        <w:trPr>
          <w:jc w:val="center"/>
        </w:trPr>
        <w:tc>
          <w:tcPr>
            <w:tcW w:w="2122" w:type="dxa"/>
          </w:tcPr>
          <w:p w:rsidR="00D92018" w:rsidRDefault="00D92018" w:rsidP="009E014C">
            <w:pPr>
              <w:rPr>
                <w:lang w:val="en" w:eastAsia="en-GB"/>
              </w:rPr>
            </w:pPr>
            <w:r>
              <w:rPr>
                <w:lang w:val="en" w:eastAsia="en-GB"/>
              </w:rPr>
              <w:t>£3,000</w:t>
            </w:r>
          </w:p>
        </w:tc>
        <w:tc>
          <w:tcPr>
            <w:tcW w:w="3969" w:type="dxa"/>
          </w:tcPr>
          <w:p w:rsidR="00D92018" w:rsidRDefault="00D92018" w:rsidP="009E014C">
            <w:pPr>
              <w:rPr>
                <w:lang w:val="en" w:eastAsia="en-GB"/>
              </w:rPr>
            </w:pPr>
            <w:r>
              <w:rPr>
                <w:lang w:val="en" w:eastAsia="en-GB"/>
              </w:rPr>
              <w:t>£300</w:t>
            </w:r>
          </w:p>
        </w:tc>
      </w:tr>
      <w:tr w:rsidR="00D92018" w:rsidTr="009E014C">
        <w:trPr>
          <w:jc w:val="center"/>
        </w:trPr>
        <w:tc>
          <w:tcPr>
            <w:tcW w:w="2122" w:type="dxa"/>
          </w:tcPr>
          <w:p w:rsidR="00D92018" w:rsidRDefault="00D92018" w:rsidP="009E014C">
            <w:pPr>
              <w:rPr>
                <w:lang w:val="en" w:eastAsia="en-GB"/>
              </w:rPr>
            </w:pPr>
            <w:r>
              <w:rPr>
                <w:lang w:val="en" w:eastAsia="en-GB"/>
              </w:rPr>
              <w:t>£4,000</w:t>
            </w:r>
          </w:p>
        </w:tc>
        <w:tc>
          <w:tcPr>
            <w:tcW w:w="3969" w:type="dxa"/>
          </w:tcPr>
          <w:p w:rsidR="00D92018" w:rsidRDefault="00D92018" w:rsidP="009E014C">
            <w:pPr>
              <w:rPr>
                <w:lang w:val="en" w:eastAsia="en-GB"/>
              </w:rPr>
            </w:pPr>
            <w:r>
              <w:rPr>
                <w:lang w:val="en" w:eastAsia="en-GB"/>
              </w:rPr>
              <w:t>£400</w:t>
            </w:r>
          </w:p>
        </w:tc>
      </w:tr>
      <w:tr w:rsidR="00D92018" w:rsidTr="009E014C">
        <w:trPr>
          <w:jc w:val="center"/>
        </w:trPr>
        <w:tc>
          <w:tcPr>
            <w:tcW w:w="2122" w:type="dxa"/>
          </w:tcPr>
          <w:p w:rsidR="00D92018" w:rsidRDefault="00D92018" w:rsidP="009E014C">
            <w:pPr>
              <w:rPr>
                <w:lang w:val="en" w:eastAsia="en-GB"/>
              </w:rPr>
            </w:pPr>
            <w:r>
              <w:rPr>
                <w:lang w:val="en" w:eastAsia="en-GB"/>
              </w:rPr>
              <w:t>£6,000</w:t>
            </w:r>
          </w:p>
        </w:tc>
        <w:tc>
          <w:tcPr>
            <w:tcW w:w="3969" w:type="dxa"/>
          </w:tcPr>
          <w:p w:rsidR="00D92018" w:rsidRDefault="00D92018" w:rsidP="009E014C">
            <w:pPr>
              <w:rPr>
                <w:lang w:val="en" w:eastAsia="en-GB"/>
              </w:rPr>
            </w:pPr>
            <w:r>
              <w:rPr>
                <w:lang w:val="en" w:eastAsia="en-GB"/>
              </w:rPr>
              <w:t>£600</w:t>
            </w:r>
          </w:p>
        </w:tc>
      </w:tr>
      <w:tr w:rsidR="00D92018" w:rsidTr="009E014C">
        <w:trPr>
          <w:jc w:val="center"/>
        </w:trPr>
        <w:tc>
          <w:tcPr>
            <w:tcW w:w="2122" w:type="dxa"/>
          </w:tcPr>
          <w:p w:rsidR="00D92018" w:rsidRDefault="00D92018" w:rsidP="009E014C">
            <w:pPr>
              <w:rPr>
                <w:lang w:val="en" w:eastAsia="en-GB"/>
              </w:rPr>
            </w:pPr>
            <w:r>
              <w:rPr>
                <w:lang w:val="en" w:eastAsia="en-GB"/>
              </w:rPr>
              <w:t>£9,000</w:t>
            </w:r>
          </w:p>
        </w:tc>
        <w:tc>
          <w:tcPr>
            <w:tcW w:w="3969" w:type="dxa"/>
          </w:tcPr>
          <w:p w:rsidR="00D92018" w:rsidRDefault="00D92018" w:rsidP="009E014C">
            <w:pPr>
              <w:rPr>
                <w:lang w:val="en" w:eastAsia="en-GB"/>
              </w:rPr>
            </w:pPr>
            <w:r>
              <w:rPr>
                <w:lang w:val="en" w:eastAsia="en-GB"/>
              </w:rPr>
              <w:t>£900</w:t>
            </w:r>
          </w:p>
        </w:tc>
      </w:tr>
      <w:tr w:rsidR="00D92018" w:rsidTr="009E014C">
        <w:trPr>
          <w:jc w:val="center"/>
        </w:trPr>
        <w:tc>
          <w:tcPr>
            <w:tcW w:w="2122" w:type="dxa"/>
          </w:tcPr>
          <w:p w:rsidR="00D92018" w:rsidRDefault="00D92018" w:rsidP="009E014C">
            <w:pPr>
              <w:rPr>
                <w:lang w:val="en" w:eastAsia="en-GB"/>
              </w:rPr>
            </w:pPr>
            <w:r>
              <w:rPr>
                <w:lang w:val="en" w:eastAsia="en-GB"/>
              </w:rPr>
              <w:t>£12,000</w:t>
            </w:r>
          </w:p>
        </w:tc>
        <w:tc>
          <w:tcPr>
            <w:tcW w:w="3969" w:type="dxa"/>
          </w:tcPr>
          <w:p w:rsidR="00D92018" w:rsidRDefault="00D92018" w:rsidP="009E014C">
            <w:pPr>
              <w:rPr>
                <w:lang w:val="en" w:eastAsia="en-GB"/>
              </w:rPr>
            </w:pPr>
            <w:r>
              <w:rPr>
                <w:lang w:val="en" w:eastAsia="en-GB"/>
              </w:rPr>
              <w:t>£1,200</w:t>
            </w:r>
          </w:p>
        </w:tc>
      </w:tr>
    </w:tbl>
    <w:p w:rsidR="009E014C" w:rsidRDefault="009E014C" w:rsidP="009E014C">
      <w:pPr>
        <w:rPr>
          <w:lang w:val="en" w:eastAsia="en-GB"/>
        </w:rPr>
      </w:pPr>
    </w:p>
    <w:p w:rsidR="007C2C5C" w:rsidRDefault="007C2C5C" w:rsidP="009E014C">
      <w:pPr>
        <w:rPr>
          <w:lang w:val="en" w:eastAsia="en-GB"/>
        </w:rPr>
      </w:pPr>
      <w:r>
        <w:rPr>
          <w:lang w:val="en" w:eastAsia="en-GB"/>
        </w:rPr>
        <w:t>No other form of payment will be available.</w:t>
      </w:r>
    </w:p>
    <w:p w:rsidR="00D92018" w:rsidRDefault="00D92018" w:rsidP="009E014C">
      <w:pPr>
        <w:rPr>
          <w:lang w:val="en" w:eastAsia="en-GB"/>
        </w:rPr>
      </w:pPr>
      <w:r>
        <w:rPr>
          <w:lang w:val="en" w:eastAsia="en-GB"/>
        </w:rPr>
        <w:t>Bursary awards of £15,000 or more are paid so that trainees receive a fixed sum each month with an additional payment made at two points in the year. The first additional payment is due in February and the second is due in either July or the final month in which the trainee successfully completes their ITT course. To receive the additional payments the trainee must:</w:t>
      </w:r>
    </w:p>
    <w:p w:rsidR="00D92018" w:rsidRPr="009E014C" w:rsidRDefault="00D92018" w:rsidP="009E014C">
      <w:pPr>
        <w:pStyle w:val="ListParagraph"/>
        <w:numPr>
          <w:ilvl w:val="0"/>
          <w:numId w:val="2"/>
        </w:numPr>
        <w:rPr>
          <w:lang w:val="en" w:eastAsia="en-GB"/>
        </w:rPr>
      </w:pPr>
      <w:r w:rsidRPr="009E014C">
        <w:rPr>
          <w:lang w:val="en" w:eastAsia="en-GB"/>
        </w:rPr>
        <w:t>Be present on the course on the date of each payment;</w:t>
      </w:r>
    </w:p>
    <w:p w:rsidR="00D92018" w:rsidRPr="009E014C" w:rsidRDefault="00D92018" w:rsidP="009E014C">
      <w:pPr>
        <w:pStyle w:val="ListParagraph"/>
        <w:numPr>
          <w:ilvl w:val="0"/>
          <w:numId w:val="2"/>
        </w:numPr>
        <w:rPr>
          <w:lang w:val="en" w:eastAsia="en-GB"/>
        </w:rPr>
      </w:pPr>
      <w:r w:rsidRPr="009E014C">
        <w:rPr>
          <w:lang w:val="en" w:eastAsia="en-GB"/>
        </w:rPr>
        <w:t>In the case of the first additional payment, be present on the course on 1</w:t>
      </w:r>
      <w:r w:rsidRPr="009E014C">
        <w:rPr>
          <w:vertAlign w:val="superscript"/>
          <w:lang w:val="en" w:eastAsia="en-GB"/>
        </w:rPr>
        <w:t>st</w:t>
      </w:r>
      <w:r w:rsidRPr="009E014C">
        <w:rPr>
          <w:lang w:val="en" w:eastAsia="en-GB"/>
        </w:rPr>
        <w:t xml:space="preserve"> January; and</w:t>
      </w:r>
    </w:p>
    <w:p w:rsidR="00D92018" w:rsidRPr="009E014C" w:rsidRDefault="00D92018" w:rsidP="009E014C">
      <w:pPr>
        <w:pStyle w:val="ListParagraph"/>
        <w:numPr>
          <w:ilvl w:val="0"/>
          <w:numId w:val="2"/>
        </w:numPr>
        <w:rPr>
          <w:lang w:val="en" w:eastAsia="en-GB"/>
        </w:rPr>
      </w:pPr>
      <w:r w:rsidRPr="009E014C">
        <w:rPr>
          <w:lang w:val="en" w:eastAsia="en-GB"/>
        </w:rPr>
        <w:t>In the case of the second additional payment, complete their ITT course.</w:t>
      </w:r>
    </w:p>
    <w:p w:rsidR="00D92018" w:rsidRPr="009E014C" w:rsidRDefault="00D92018" w:rsidP="009E014C">
      <w:pPr>
        <w:rPr>
          <w:rFonts w:ascii="freight-sans-pro" w:eastAsia="Times New Roman" w:hAnsi="freight-sans-pro" w:cs="Arial"/>
          <w:color w:val="4A4A4A"/>
          <w:sz w:val="24"/>
          <w:szCs w:val="24"/>
          <w:lang w:val="en" w:eastAsia="en-GB"/>
        </w:rPr>
      </w:pPr>
      <w:r>
        <w:rPr>
          <w:lang w:val="en" w:eastAsia="en-GB"/>
        </w:rPr>
        <w:t>Subject to these conditions the payment schedule would be as follows, paid on or before the 5</w:t>
      </w:r>
      <w:r w:rsidRPr="00BE06E2">
        <w:rPr>
          <w:vertAlign w:val="superscript"/>
          <w:lang w:val="en" w:eastAsia="en-GB"/>
        </w:rPr>
        <w:t>th</w:t>
      </w:r>
      <w:r>
        <w:rPr>
          <w:lang w:val="en" w:eastAsia="en-GB"/>
        </w:rPr>
        <w:t xml:space="preserve"> working day of each month:</w:t>
      </w:r>
    </w:p>
    <w:tbl>
      <w:tblPr>
        <w:tblStyle w:val="TableGrid"/>
        <w:tblW w:w="0" w:type="auto"/>
        <w:jc w:val="center"/>
        <w:tblLook w:val="04A0" w:firstRow="1" w:lastRow="0" w:firstColumn="1" w:lastColumn="0" w:noHBand="0" w:noVBand="1"/>
      </w:tblPr>
      <w:tblGrid>
        <w:gridCol w:w="2122"/>
        <w:gridCol w:w="5811"/>
      </w:tblGrid>
      <w:tr w:rsidR="00D92018" w:rsidRPr="00033C28" w:rsidTr="009E014C">
        <w:trPr>
          <w:jc w:val="center"/>
        </w:trPr>
        <w:tc>
          <w:tcPr>
            <w:tcW w:w="2122" w:type="dxa"/>
          </w:tcPr>
          <w:p w:rsidR="00D92018" w:rsidRPr="00033C28" w:rsidRDefault="00D92018" w:rsidP="009E014C">
            <w:pPr>
              <w:rPr>
                <w:lang w:val="en" w:eastAsia="en-GB"/>
              </w:rPr>
            </w:pPr>
            <w:r w:rsidRPr="00033C28">
              <w:rPr>
                <w:lang w:val="en" w:eastAsia="en-GB"/>
              </w:rPr>
              <w:t>Bursary award</w:t>
            </w:r>
          </w:p>
        </w:tc>
        <w:tc>
          <w:tcPr>
            <w:tcW w:w="5811" w:type="dxa"/>
          </w:tcPr>
          <w:p w:rsidR="00D92018" w:rsidRPr="00033C28" w:rsidRDefault="00D92018" w:rsidP="009E014C">
            <w:pPr>
              <w:rPr>
                <w:lang w:val="en" w:eastAsia="en-GB"/>
              </w:rPr>
            </w:pPr>
            <w:r w:rsidRPr="00033C28">
              <w:rPr>
                <w:lang w:val="en" w:eastAsia="en-GB"/>
              </w:rPr>
              <w:t>Value of monthly instalments</w:t>
            </w:r>
          </w:p>
        </w:tc>
      </w:tr>
      <w:tr w:rsidR="00D92018" w:rsidTr="009E014C">
        <w:trPr>
          <w:jc w:val="center"/>
        </w:trPr>
        <w:tc>
          <w:tcPr>
            <w:tcW w:w="2122" w:type="dxa"/>
          </w:tcPr>
          <w:p w:rsidR="00D92018" w:rsidRDefault="00D92018" w:rsidP="009E014C">
            <w:pPr>
              <w:rPr>
                <w:lang w:val="en" w:eastAsia="en-GB"/>
              </w:rPr>
            </w:pPr>
            <w:r>
              <w:rPr>
                <w:lang w:val="en" w:eastAsia="en-GB"/>
              </w:rPr>
              <w:t>£15,000</w:t>
            </w:r>
          </w:p>
        </w:tc>
        <w:tc>
          <w:tcPr>
            <w:tcW w:w="5811" w:type="dxa"/>
          </w:tcPr>
          <w:p w:rsidR="00D92018" w:rsidRDefault="00D92018" w:rsidP="009E014C">
            <w:pPr>
              <w:rPr>
                <w:lang w:val="en" w:eastAsia="en-GB"/>
              </w:rPr>
            </w:pPr>
            <w:r>
              <w:rPr>
                <w:lang w:val="en" w:eastAsia="en-GB"/>
              </w:rPr>
              <w:t>£1,200 from October to July and an additional £1,500 in February and July (£2,700 in total for each of these two months)</w:t>
            </w:r>
          </w:p>
        </w:tc>
      </w:tr>
      <w:tr w:rsidR="00D92018" w:rsidTr="009E014C">
        <w:trPr>
          <w:jc w:val="center"/>
        </w:trPr>
        <w:tc>
          <w:tcPr>
            <w:tcW w:w="2122" w:type="dxa"/>
          </w:tcPr>
          <w:p w:rsidR="00D92018" w:rsidRDefault="00D92018" w:rsidP="009E014C">
            <w:pPr>
              <w:rPr>
                <w:lang w:val="en" w:eastAsia="en-GB"/>
              </w:rPr>
            </w:pPr>
            <w:r>
              <w:rPr>
                <w:lang w:val="en" w:eastAsia="en-GB"/>
              </w:rPr>
              <w:t>£20,000</w:t>
            </w:r>
          </w:p>
        </w:tc>
        <w:tc>
          <w:tcPr>
            <w:tcW w:w="5811" w:type="dxa"/>
          </w:tcPr>
          <w:p w:rsidR="00D92018" w:rsidRDefault="00D92018" w:rsidP="009E014C">
            <w:pPr>
              <w:rPr>
                <w:lang w:val="en" w:eastAsia="en-GB"/>
              </w:rPr>
            </w:pPr>
            <w:r>
              <w:rPr>
                <w:lang w:val="en" w:eastAsia="en-GB"/>
              </w:rPr>
              <w:t>£1,500 from October to July and an additional £2,500 in February and July (£4,000 in total for each of these two months)</w:t>
            </w:r>
          </w:p>
        </w:tc>
      </w:tr>
      <w:tr w:rsidR="00D92018" w:rsidTr="009E014C">
        <w:trPr>
          <w:jc w:val="center"/>
        </w:trPr>
        <w:tc>
          <w:tcPr>
            <w:tcW w:w="2122" w:type="dxa"/>
          </w:tcPr>
          <w:p w:rsidR="00D92018" w:rsidRDefault="00D92018" w:rsidP="009E014C">
            <w:pPr>
              <w:rPr>
                <w:lang w:val="en" w:eastAsia="en-GB"/>
              </w:rPr>
            </w:pPr>
            <w:r>
              <w:rPr>
                <w:lang w:val="en" w:eastAsia="en-GB"/>
              </w:rPr>
              <w:t>£25,000</w:t>
            </w:r>
          </w:p>
        </w:tc>
        <w:tc>
          <w:tcPr>
            <w:tcW w:w="5811" w:type="dxa"/>
          </w:tcPr>
          <w:p w:rsidR="00D92018" w:rsidRDefault="00D92018" w:rsidP="009E014C">
            <w:pPr>
              <w:rPr>
                <w:lang w:val="en" w:eastAsia="en-GB"/>
              </w:rPr>
            </w:pPr>
            <w:r>
              <w:rPr>
                <w:lang w:val="en" w:eastAsia="en-GB"/>
              </w:rPr>
              <w:t>£2,000 from October to July and an additional £2,500 in February and July (£4,500 in total for each of these two months)</w:t>
            </w:r>
          </w:p>
        </w:tc>
      </w:tr>
      <w:tr w:rsidR="00D92018" w:rsidTr="009E014C">
        <w:trPr>
          <w:jc w:val="center"/>
        </w:trPr>
        <w:tc>
          <w:tcPr>
            <w:tcW w:w="2122" w:type="dxa"/>
          </w:tcPr>
          <w:p w:rsidR="00D92018" w:rsidRDefault="00D92018" w:rsidP="009E014C">
            <w:pPr>
              <w:rPr>
                <w:lang w:val="en" w:eastAsia="en-GB"/>
              </w:rPr>
            </w:pPr>
            <w:r>
              <w:rPr>
                <w:lang w:val="en" w:eastAsia="en-GB"/>
              </w:rPr>
              <w:t>£30,000</w:t>
            </w:r>
          </w:p>
        </w:tc>
        <w:tc>
          <w:tcPr>
            <w:tcW w:w="5811" w:type="dxa"/>
          </w:tcPr>
          <w:p w:rsidR="00D92018" w:rsidRDefault="00D92018" w:rsidP="009E014C">
            <w:pPr>
              <w:rPr>
                <w:lang w:val="en" w:eastAsia="en-GB"/>
              </w:rPr>
            </w:pPr>
            <w:r>
              <w:rPr>
                <w:lang w:val="en" w:eastAsia="en-GB"/>
              </w:rPr>
              <w:t>£2,500 from October to July and an additional £2,500 in February and July (£5,000 in total for each of these two months)</w:t>
            </w:r>
          </w:p>
        </w:tc>
      </w:tr>
    </w:tbl>
    <w:p w:rsidR="009E014C" w:rsidRDefault="009E014C" w:rsidP="009E014C">
      <w:pPr>
        <w:pStyle w:val="NoSpacing"/>
        <w:rPr>
          <w:rFonts w:ascii="freight-sans-pro" w:eastAsia="Times New Roman" w:hAnsi="freight-sans-pro" w:cs="Arial"/>
          <w:color w:val="4A4A4A"/>
          <w:sz w:val="24"/>
          <w:szCs w:val="24"/>
          <w:lang w:val="en" w:eastAsia="en-GB"/>
        </w:rPr>
      </w:pPr>
    </w:p>
    <w:p w:rsidR="007C2C5C" w:rsidRDefault="007C2C5C" w:rsidP="009E014C">
      <w:pPr>
        <w:pStyle w:val="NoSpacing"/>
        <w:rPr>
          <w:b/>
          <w:sz w:val="24"/>
          <w:lang w:val="en" w:eastAsia="en-GB"/>
        </w:rPr>
      </w:pPr>
    </w:p>
    <w:p w:rsidR="009E014C" w:rsidRDefault="009E014C" w:rsidP="009E014C">
      <w:pPr>
        <w:pStyle w:val="NoSpacing"/>
        <w:rPr>
          <w:b/>
          <w:sz w:val="24"/>
          <w:lang w:val="en" w:eastAsia="en-GB"/>
        </w:rPr>
      </w:pPr>
      <w:r w:rsidRPr="009E014C">
        <w:rPr>
          <w:b/>
          <w:sz w:val="24"/>
          <w:lang w:val="en" w:eastAsia="en-GB"/>
        </w:rPr>
        <w:t>Withdrawal from the Programme</w:t>
      </w:r>
    </w:p>
    <w:p w:rsidR="007B29A8" w:rsidRPr="009E014C" w:rsidRDefault="007B29A8" w:rsidP="009E014C">
      <w:pPr>
        <w:pStyle w:val="NoSpacing"/>
        <w:rPr>
          <w:b/>
          <w:sz w:val="24"/>
          <w:lang w:val="en" w:eastAsia="en-GB"/>
        </w:rPr>
      </w:pPr>
    </w:p>
    <w:p w:rsidR="007B29A8" w:rsidRDefault="007B29A8" w:rsidP="007B29A8">
      <w:pPr>
        <w:pStyle w:val="ListParagraph"/>
        <w:numPr>
          <w:ilvl w:val="0"/>
          <w:numId w:val="3"/>
        </w:numPr>
      </w:pPr>
      <w:r>
        <w:t xml:space="preserve">Trainees who withdraw or defer from their programme are entitled to be paid the training bursary for each month up to, and including, the month in which they withdrew. These trainees are only entitled to receive a bursary payment for the month they withdraw if they were still on the course at the time Ashton on Mersey SCITT had made the payment. </w:t>
      </w:r>
    </w:p>
    <w:p w:rsidR="007B29A8" w:rsidRDefault="007B29A8" w:rsidP="007B29A8">
      <w:pPr>
        <w:pStyle w:val="ListParagraph"/>
      </w:pPr>
    </w:p>
    <w:p w:rsidR="007B29A8" w:rsidRDefault="007B29A8" w:rsidP="007B29A8">
      <w:pPr>
        <w:pStyle w:val="ListParagraph"/>
        <w:numPr>
          <w:ilvl w:val="0"/>
          <w:numId w:val="3"/>
        </w:numPr>
      </w:pPr>
      <w:r>
        <w:t>In the event of withdrawal or deferral, Ashton on Mersey SCITT will suspend all bursary payments to the trainee immediately.</w:t>
      </w:r>
    </w:p>
    <w:p w:rsidR="007B29A8" w:rsidRDefault="007B29A8" w:rsidP="007B29A8">
      <w:pPr>
        <w:pStyle w:val="ListParagraph"/>
      </w:pPr>
    </w:p>
    <w:p w:rsidR="00D92018" w:rsidRPr="007B29A8" w:rsidRDefault="007B29A8" w:rsidP="007B29A8">
      <w:pPr>
        <w:pStyle w:val="ListParagraph"/>
        <w:numPr>
          <w:ilvl w:val="0"/>
          <w:numId w:val="3"/>
        </w:numPr>
        <w:rPr>
          <w:rFonts w:ascii="freight-sans-pro" w:eastAsia="Times New Roman" w:hAnsi="freight-sans-pro" w:cs="Arial"/>
          <w:color w:val="4A4A4A"/>
          <w:sz w:val="24"/>
          <w:szCs w:val="24"/>
          <w:lang w:val="en" w:eastAsia="en-GB"/>
        </w:rPr>
      </w:pPr>
      <w:r>
        <w:t xml:space="preserve">Ashton on Mersey SCITT will recover any overpayment of bursary from trainees. </w:t>
      </w:r>
    </w:p>
    <w:p w:rsidR="00E414C6" w:rsidRDefault="00E414C6"/>
    <w:sectPr w:rsidR="00E414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14C" w:rsidRDefault="009E014C" w:rsidP="009E014C">
      <w:pPr>
        <w:spacing w:after="0" w:line="240" w:lineRule="auto"/>
      </w:pPr>
      <w:r>
        <w:separator/>
      </w:r>
    </w:p>
  </w:endnote>
  <w:endnote w:type="continuationSeparator" w:id="0">
    <w:p w:rsidR="009E014C" w:rsidRDefault="009E014C" w:rsidP="009E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eight-sans-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14C" w:rsidRDefault="009E014C" w:rsidP="009E014C">
      <w:pPr>
        <w:spacing w:after="0" w:line="240" w:lineRule="auto"/>
      </w:pPr>
      <w:r>
        <w:separator/>
      </w:r>
    </w:p>
  </w:footnote>
  <w:footnote w:type="continuationSeparator" w:id="0">
    <w:p w:rsidR="009E014C" w:rsidRDefault="009E014C" w:rsidP="009E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14C" w:rsidRDefault="009E014C">
    <w:pPr>
      <w:pStyle w:val="Header"/>
    </w:pPr>
    <w:r>
      <w:rPr>
        <w:noProof/>
        <w:lang w:eastAsia="en-GB"/>
      </w:rPr>
      <w:drawing>
        <wp:anchor distT="0" distB="0" distL="114300" distR="114300" simplePos="0" relativeHeight="251661312" behindDoc="0" locked="0" layoutInCell="1" allowOverlap="1" wp14:anchorId="135A4241" wp14:editId="08AC7AE7">
          <wp:simplePos x="0" y="0"/>
          <wp:positionH relativeFrom="column">
            <wp:posOffset>4124325</wp:posOffset>
          </wp:positionH>
          <wp:positionV relativeFrom="topMargin">
            <wp:align>bottom</wp:align>
          </wp:positionV>
          <wp:extent cx="2085975" cy="514350"/>
          <wp:effectExtent l="0" t="0" r="9525" b="0"/>
          <wp:wrapSquare wrapText="bothSides"/>
          <wp:docPr id="2" name="Picture 2" descr="dean trust teaching school"/>
          <wp:cNvGraphicFramePr/>
          <a:graphic xmlns:a="http://schemas.openxmlformats.org/drawingml/2006/main">
            <a:graphicData uri="http://schemas.openxmlformats.org/drawingml/2006/picture">
              <pic:pic xmlns:pic="http://schemas.openxmlformats.org/drawingml/2006/picture">
                <pic:nvPicPr>
                  <pic:cNvPr id="2" name="Picture 2" descr="dean trust teaching schoo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2EE6AB9A" wp14:editId="6251F781">
          <wp:simplePos x="0" y="0"/>
          <wp:positionH relativeFrom="margin">
            <wp:posOffset>-276225</wp:posOffset>
          </wp:positionH>
          <wp:positionV relativeFrom="topMargin">
            <wp:align>bottom</wp:align>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F211F"/>
    <w:multiLevelType w:val="hybridMultilevel"/>
    <w:tmpl w:val="A114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80BB2"/>
    <w:multiLevelType w:val="multilevel"/>
    <w:tmpl w:val="DFB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13B42"/>
    <w:multiLevelType w:val="hybridMultilevel"/>
    <w:tmpl w:val="15A2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18"/>
    <w:rsid w:val="007B29A8"/>
    <w:rsid w:val="007C2C5C"/>
    <w:rsid w:val="009E014C"/>
    <w:rsid w:val="00CE4622"/>
    <w:rsid w:val="00D92018"/>
    <w:rsid w:val="00E41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63A3"/>
  <w15:chartTrackingRefBased/>
  <w15:docId w15:val="{43749104-8458-49FE-AC91-811AF7AB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14C"/>
  </w:style>
  <w:style w:type="paragraph" w:styleId="Footer">
    <w:name w:val="footer"/>
    <w:basedOn w:val="Normal"/>
    <w:link w:val="FooterChar"/>
    <w:uiPriority w:val="99"/>
    <w:unhideWhenUsed/>
    <w:rsid w:val="009E0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14C"/>
  </w:style>
  <w:style w:type="paragraph" w:styleId="ListParagraph">
    <w:name w:val="List Paragraph"/>
    <w:basedOn w:val="Normal"/>
    <w:uiPriority w:val="34"/>
    <w:qFormat/>
    <w:rsid w:val="009E014C"/>
    <w:pPr>
      <w:ind w:left="720"/>
      <w:contextualSpacing/>
    </w:pPr>
  </w:style>
  <w:style w:type="paragraph" w:styleId="NoSpacing">
    <w:name w:val="No Spacing"/>
    <w:uiPriority w:val="1"/>
    <w:qFormat/>
    <w:rsid w:val="009E014C"/>
    <w:pPr>
      <w:spacing w:after="0" w:line="240" w:lineRule="auto"/>
    </w:pPr>
  </w:style>
  <w:style w:type="paragraph" w:customStyle="1" w:styleId="Default">
    <w:name w:val="Default"/>
    <w:rsid w:val="007B29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Samantha Buckley</cp:lastModifiedBy>
  <cp:revision>2</cp:revision>
  <dcterms:created xsi:type="dcterms:W3CDTF">2018-01-31T15:27:00Z</dcterms:created>
  <dcterms:modified xsi:type="dcterms:W3CDTF">2018-01-31T15:27:00Z</dcterms:modified>
</cp:coreProperties>
</file>