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5B" w:rsidRDefault="00D8775B" w:rsidP="00AD64F0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6879E3" w:rsidRPr="00127F2D" w:rsidRDefault="006879E3" w:rsidP="006879E3">
      <w:pPr>
        <w:pStyle w:val="Default"/>
        <w:jc w:val="center"/>
        <w:rPr>
          <w:b/>
          <w:bCs/>
          <w:u w:val="single"/>
        </w:rPr>
      </w:pPr>
      <w:r w:rsidRPr="00127F2D">
        <w:rPr>
          <w:b/>
          <w:bCs/>
          <w:u w:val="single"/>
        </w:rPr>
        <w:t xml:space="preserve">Ashton on Mersey SCITT </w:t>
      </w:r>
      <w:r>
        <w:rPr>
          <w:b/>
          <w:u w:val="single"/>
        </w:rPr>
        <w:t>Financial Management Policy</w:t>
      </w:r>
    </w:p>
    <w:p w:rsidR="006879E3" w:rsidRDefault="006879E3" w:rsidP="006879E3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6879E3" w:rsidRPr="00290643" w:rsidRDefault="006879E3" w:rsidP="006879E3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Author: S Buckley</w:t>
      </w:r>
      <w:r w:rsidRPr="00EF6E91">
        <w:rPr>
          <w:rFonts w:asciiTheme="minorHAnsi" w:hAnsiTheme="minorHAnsi"/>
          <w:b/>
        </w:rPr>
        <w:tab/>
      </w:r>
      <w:r w:rsidRPr="00EF6E91">
        <w:rPr>
          <w:rFonts w:asciiTheme="minorHAnsi" w:hAnsiTheme="minorHAnsi"/>
          <w:b/>
        </w:rPr>
        <w:tab/>
      </w:r>
      <w:r w:rsidRPr="00EF6E91">
        <w:rPr>
          <w:rFonts w:asciiTheme="minorHAnsi" w:hAnsiTheme="minorHAnsi"/>
          <w:b/>
        </w:rPr>
        <w:tab/>
      </w:r>
      <w:r w:rsidRPr="00EF6E91">
        <w:rPr>
          <w:rFonts w:asciiTheme="minorHAnsi" w:hAnsiTheme="minorHAnsi"/>
          <w:b/>
        </w:rPr>
        <w:tab/>
      </w:r>
      <w:r w:rsidRPr="00290643">
        <w:rPr>
          <w:rFonts w:asciiTheme="minorHAnsi" w:hAnsiTheme="minorHAnsi"/>
          <w:b/>
          <w:u w:val="single"/>
        </w:rPr>
        <w:t xml:space="preserve">Date written/amended: </w:t>
      </w:r>
      <w:r w:rsidR="006C1136">
        <w:rPr>
          <w:rFonts w:asciiTheme="minorHAnsi" w:hAnsiTheme="minorHAnsi"/>
          <w:b/>
          <w:u w:val="single"/>
        </w:rPr>
        <w:t>12</w:t>
      </w:r>
      <w:r w:rsidR="006C1136" w:rsidRPr="006C1136">
        <w:rPr>
          <w:rFonts w:asciiTheme="minorHAnsi" w:hAnsiTheme="minorHAnsi"/>
          <w:b/>
          <w:u w:val="single"/>
          <w:vertAlign w:val="superscript"/>
        </w:rPr>
        <w:t>th</w:t>
      </w:r>
      <w:r w:rsidR="006C1136">
        <w:rPr>
          <w:rFonts w:asciiTheme="minorHAnsi" w:hAnsiTheme="minorHAnsi"/>
          <w:b/>
          <w:u w:val="single"/>
        </w:rPr>
        <w:t xml:space="preserve"> October 2021</w:t>
      </w:r>
    </w:p>
    <w:p w:rsidR="00CF2D6F" w:rsidRPr="006879E3" w:rsidRDefault="006879E3" w:rsidP="000B346E">
      <w:pPr>
        <w:autoSpaceDE w:val="0"/>
        <w:autoSpaceDN w:val="0"/>
        <w:adjustRightInd w:val="0"/>
        <w:ind w:left="3600" w:firstLine="720"/>
        <w:rPr>
          <w:rFonts w:cs="Arial"/>
          <w:b/>
          <w:bCs/>
          <w:sz w:val="36"/>
          <w:szCs w:val="32"/>
        </w:rPr>
      </w:pPr>
      <w:r w:rsidRPr="006879E3">
        <w:rPr>
          <w:rFonts w:asciiTheme="minorHAnsi" w:hAnsiTheme="minorHAnsi"/>
          <w:b/>
          <w:sz w:val="24"/>
          <w:u w:val="single"/>
        </w:rPr>
        <w:t>Date of next review</w:t>
      </w:r>
      <w:r w:rsidR="006C1136">
        <w:rPr>
          <w:rFonts w:asciiTheme="minorHAnsi" w:hAnsiTheme="minorHAnsi"/>
          <w:b/>
          <w:sz w:val="24"/>
          <w:u w:val="single"/>
        </w:rPr>
        <w:t>: 12</w:t>
      </w:r>
      <w:r w:rsidR="006C1136" w:rsidRPr="006C1136">
        <w:rPr>
          <w:rFonts w:asciiTheme="minorHAnsi" w:hAnsiTheme="minorHAnsi"/>
          <w:b/>
          <w:sz w:val="24"/>
          <w:u w:val="single"/>
          <w:vertAlign w:val="superscript"/>
        </w:rPr>
        <w:t>th</w:t>
      </w:r>
      <w:r w:rsidR="006C1136">
        <w:rPr>
          <w:rFonts w:asciiTheme="minorHAnsi" w:hAnsiTheme="minorHAnsi"/>
          <w:b/>
          <w:sz w:val="24"/>
          <w:u w:val="single"/>
        </w:rPr>
        <w:t xml:space="preserve"> </w:t>
      </w:r>
      <w:r w:rsidR="006F58D4">
        <w:rPr>
          <w:rFonts w:asciiTheme="minorHAnsi" w:hAnsiTheme="minorHAnsi"/>
          <w:b/>
          <w:sz w:val="24"/>
          <w:u w:val="single"/>
        </w:rPr>
        <w:t>October 2022</w:t>
      </w:r>
    </w:p>
    <w:p w:rsidR="0062632E" w:rsidRDefault="0062632E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6879E3" w:rsidRPr="00D952D4" w:rsidRDefault="006879E3">
      <w:pPr>
        <w:jc w:val="both"/>
        <w:rPr>
          <w:rFonts w:asciiTheme="minorHAnsi" w:hAnsiTheme="minorHAnsi"/>
          <w:b/>
          <w:u w:val="single"/>
        </w:rPr>
      </w:pPr>
    </w:p>
    <w:p w:rsidR="0062632E" w:rsidRPr="00D952D4" w:rsidRDefault="006C5C70">
      <w:pPr>
        <w:jc w:val="both"/>
        <w:rPr>
          <w:rFonts w:asciiTheme="minorHAnsi" w:hAnsiTheme="minorHAnsi" w:cs="Arial"/>
          <w:b/>
        </w:rPr>
      </w:pPr>
      <w:r w:rsidRPr="00D952D4">
        <w:rPr>
          <w:rFonts w:asciiTheme="minorHAnsi" w:hAnsiTheme="minorHAnsi" w:cs="Arial"/>
          <w:b/>
        </w:rPr>
        <w:t xml:space="preserve">Overall Purpose: </w:t>
      </w:r>
      <w:r w:rsidRPr="00D952D4">
        <w:rPr>
          <w:rFonts w:asciiTheme="minorHAnsi" w:hAnsiTheme="minorHAnsi" w:cs="Arial"/>
        </w:rPr>
        <w:t>Seek to ensure a high standard in the management of public finances.</w:t>
      </w:r>
      <w:r w:rsidRPr="00D952D4">
        <w:rPr>
          <w:rFonts w:asciiTheme="minorHAnsi" w:hAnsiTheme="minorHAnsi" w:cs="Arial"/>
          <w:b/>
        </w:rPr>
        <w:t xml:space="preserve"> </w:t>
      </w:r>
    </w:p>
    <w:p w:rsidR="0062632E" w:rsidRPr="00D952D4" w:rsidRDefault="0062632E">
      <w:pPr>
        <w:jc w:val="both"/>
        <w:rPr>
          <w:rFonts w:asciiTheme="minorHAnsi" w:hAnsiTheme="minorHAnsi" w:cs="Arial"/>
          <w:b/>
          <w:u w:val="single"/>
        </w:rPr>
      </w:pPr>
    </w:p>
    <w:p w:rsidR="0062632E" w:rsidRPr="00D952D4" w:rsidRDefault="006C5C70">
      <w:pPr>
        <w:jc w:val="both"/>
        <w:rPr>
          <w:rFonts w:asciiTheme="minorHAnsi" w:hAnsiTheme="minorHAnsi" w:cs="Arial"/>
          <w:b/>
        </w:rPr>
      </w:pPr>
      <w:r w:rsidRPr="003327FE">
        <w:rPr>
          <w:rFonts w:asciiTheme="minorHAnsi" w:hAnsiTheme="minorHAnsi" w:cs="Arial"/>
        </w:rPr>
        <w:t>Key Policies designed to achieve this are to</w:t>
      </w:r>
      <w:r w:rsidRPr="00D952D4">
        <w:rPr>
          <w:rFonts w:asciiTheme="minorHAnsi" w:hAnsiTheme="minorHAnsi" w:cs="Arial"/>
        </w:rPr>
        <w:t xml:space="preserve"> maintain and seek</w:t>
      </w:r>
      <w:r w:rsidR="001E26AC">
        <w:rPr>
          <w:rFonts w:asciiTheme="minorHAnsi" w:hAnsiTheme="minorHAnsi" w:cs="Arial"/>
        </w:rPr>
        <w:t xml:space="preserve"> continuous improvement in Financial Planning</w:t>
      </w:r>
    </w:p>
    <w:p w:rsidR="0062632E" w:rsidRPr="00D952D4" w:rsidRDefault="0062632E">
      <w:pPr>
        <w:jc w:val="both"/>
        <w:rPr>
          <w:rFonts w:asciiTheme="minorHAnsi" w:hAnsiTheme="minorHAnsi" w:cs="Arial"/>
          <w:b/>
        </w:rPr>
      </w:pPr>
    </w:p>
    <w:p w:rsidR="0062632E" w:rsidRPr="00D952D4" w:rsidRDefault="006C5C70">
      <w:pPr>
        <w:jc w:val="both"/>
        <w:rPr>
          <w:rFonts w:asciiTheme="minorHAnsi" w:hAnsiTheme="minorHAnsi" w:cs="Arial"/>
          <w:b/>
        </w:rPr>
      </w:pPr>
      <w:r w:rsidRPr="00D952D4">
        <w:rPr>
          <w:rFonts w:asciiTheme="minorHAnsi" w:hAnsiTheme="minorHAnsi" w:cs="Arial"/>
          <w:b/>
        </w:rPr>
        <w:t>Policy</w:t>
      </w:r>
    </w:p>
    <w:p w:rsidR="0062632E" w:rsidRPr="00D952D4" w:rsidRDefault="0062632E">
      <w:pPr>
        <w:jc w:val="both"/>
        <w:rPr>
          <w:rFonts w:asciiTheme="minorHAnsi" w:hAnsiTheme="minorHAnsi" w:cs="Arial"/>
          <w:b/>
        </w:rPr>
      </w:pP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 xml:space="preserve">Overall </w:t>
      </w:r>
      <w:r w:rsidR="00D952D4" w:rsidRPr="00D952D4">
        <w:rPr>
          <w:rFonts w:asciiTheme="minorHAnsi" w:hAnsiTheme="minorHAnsi" w:cs="Arial"/>
        </w:rPr>
        <w:t>financial</w:t>
      </w:r>
      <w:r w:rsidR="003327FE">
        <w:rPr>
          <w:rFonts w:asciiTheme="minorHAnsi" w:hAnsiTheme="minorHAnsi" w:cs="Arial"/>
        </w:rPr>
        <w:t xml:space="preserve"> planning and budget strategy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 xml:space="preserve">Budget strategy related to the annual </w:t>
      </w:r>
      <w:r w:rsidR="00F17CD4" w:rsidRPr="00D952D4">
        <w:rPr>
          <w:rFonts w:asciiTheme="minorHAnsi" w:hAnsiTheme="minorHAnsi" w:cs="Arial"/>
        </w:rPr>
        <w:t>SCITT</w:t>
      </w:r>
      <w:r w:rsidR="003327FE">
        <w:rPr>
          <w:rFonts w:asciiTheme="minorHAnsi" w:hAnsiTheme="minorHAnsi" w:cs="Arial"/>
        </w:rPr>
        <w:t xml:space="preserve"> Improvement Plans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 xml:space="preserve">Ensure that the </w:t>
      </w:r>
      <w:r w:rsidR="006F58D4" w:rsidRPr="00D952D4">
        <w:rPr>
          <w:rFonts w:asciiTheme="minorHAnsi" w:hAnsiTheme="minorHAnsi" w:cs="Arial"/>
        </w:rPr>
        <w:t>long-term</w:t>
      </w:r>
      <w:r w:rsidRPr="00D952D4">
        <w:rPr>
          <w:rFonts w:asciiTheme="minorHAnsi" w:hAnsiTheme="minorHAnsi" w:cs="Arial"/>
        </w:rPr>
        <w:t xml:space="preserve"> level of revenue commitments does not exceed long term funding likely to be available including reasonably expected levels of future gra</w:t>
      </w:r>
      <w:r w:rsidR="003327FE">
        <w:rPr>
          <w:rFonts w:asciiTheme="minorHAnsi" w:hAnsiTheme="minorHAnsi" w:cs="Arial"/>
        </w:rPr>
        <w:t>nt settlement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 xml:space="preserve">Maintain </w:t>
      </w:r>
      <w:r w:rsidR="006F58D4" w:rsidRPr="00D952D4">
        <w:rPr>
          <w:rFonts w:asciiTheme="minorHAnsi" w:hAnsiTheme="minorHAnsi" w:cs="Arial"/>
        </w:rPr>
        <w:t>three-year</w:t>
      </w:r>
      <w:r w:rsidRPr="00D952D4">
        <w:rPr>
          <w:rFonts w:asciiTheme="minorHAnsi" w:hAnsiTheme="minorHAnsi" w:cs="Arial"/>
        </w:rPr>
        <w:t xml:space="preserve"> budget projections and </w:t>
      </w:r>
      <w:bookmarkStart w:id="0" w:name="_GoBack"/>
      <w:bookmarkEnd w:id="0"/>
      <w:r w:rsidR="006F58D4" w:rsidRPr="00D952D4">
        <w:rPr>
          <w:rFonts w:asciiTheme="minorHAnsi" w:hAnsiTheme="minorHAnsi" w:cs="Arial"/>
        </w:rPr>
        <w:t>medium-term</w:t>
      </w:r>
      <w:r w:rsidRPr="00D952D4">
        <w:rPr>
          <w:rFonts w:asciiTheme="minorHAnsi" w:hAnsiTheme="minorHAnsi" w:cs="Arial"/>
        </w:rPr>
        <w:t xml:space="preserve"> financial planning, based where necessary on alternative scenarios to reflect uncertainty of spending and resources assumptions in order to set the likely context for making final resource allocatio</w:t>
      </w:r>
      <w:r w:rsidR="003327FE">
        <w:rPr>
          <w:rFonts w:asciiTheme="minorHAnsi" w:hAnsiTheme="minorHAnsi" w:cs="Arial"/>
        </w:rPr>
        <w:t>n decisions on an annual basis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Minimise levels of non-earmarked reserves, subject to risk assessment, in order to maximise use of availa</w:t>
      </w:r>
      <w:r w:rsidR="003327FE">
        <w:rPr>
          <w:rFonts w:asciiTheme="minorHAnsi" w:hAnsiTheme="minorHAnsi" w:cs="Arial"/>
        </w:rPr>
        <w:t>ble funds on service provision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Review the rationale and adequacy of earmarked reserves on at least an an</w:t>
      </w:r>
      <w:r w:rsidR="003327FE">
        <w:rPr>
          <w:rFonts w:asciiTheme="minorHAnsi" w:hAnsiTheme="minorHAnsi" w:cs="Arial"/>
        </w:rPr>
        <w:t>nual basis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In order to allow budgets to operate within firm cash limits, allocate provision for inflation at the start of the financial year and require e</w:t>
      </w:r>
      <w:r w:rsidR="003327FE">
        <w:rPr>
          <w:rFonts w:asciiTheme="minorHAnsi" w:hAnsiTheme="minorHAnsi" w:cs="Arial"/>
        </w:rPr>
        <w:t>xcess inflation to be absorbed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Budgets expected to contain spending within the approved cash limit, with no supplementary allocations being available other than in exceptional circumstances unless a specific contingency p</w:t>
      </w:r>
      <w:r w:rsidR="003327FE">
        <w:rPr>
          <w:rFonts w:asciiTheme="minorHAnsi" w:hAnsiTheme="minorHAnsi" w:cs="Arial"/>
        </w:rPr>
        <w:t>rovision made within the budget</w:t>
      </w:r>
    </w:p>
    <w:p w:rsidR="00024F30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Encourage applications for specific grants/partnership funding designed to maximise the resources ava</w:t>
      </w:r>
      <w:r w:rsidR="003327FE">
        <w:rPr>
          <w:rFonts w:asciiTheme="minorHAnsi" w:hAnsiTheme="minorHAnsi" w:cs="Arial"/>
        </w:rPr>
        <w:t>ilable to the partnership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Review the levels of fees and charges at least annually and set budget limits on the assumption that the level of charges increased in line with assumed</w:t>
      </w:r>
      <w:r w:rsidR="003327FE">
        <w:rPr>
          <w:rFonts w:asciiTheme="minorHAnsi" w:hAnsiTheme="minorHAnsi" w:cs="Arial"/>
        </w:rPr>
        <w:t xml:space="preserve"> inflation on gross expenditure</w:t>
      </w:r>
    </w:p>
    <w:p w:rsidR="0062632E" w:rsidRPr="00D952D4" w:rsidRDefault="006C5C70" w:rsidP="00D952D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 xml:space="preserve">Seek best value in spending, bearing in mind that consideration of quality, risk, sustainability, environmental impact, local economic development and equalities may all be relevant in additional price. </w:t>
      </w:r>
    </w:p>
    <w:p w:rsidR="00AD64F0" w:rsidRDefault="00AD64F0" w:rsidP="001E26AC">
      <w:pPr>
        <w:jc w:val="both"/>
        <w:rPr>
          <w:rFonts w:asciiTheme="minorHAnsi" w:hAnsiTheme="minorHAnsi" w:cs="Arial"/>
        </w:rPr>
      </w:pPr>
    </w:p>
    <w:p w:rsidR="000B346E" w:rsidRPr="00D952D4" w:rsidRDefault="000B346E">
      <w:pPr>
        <w:ind w:left="360"/>
        <w:jc w:val="both"/>
        <w:rPr>
          <w:rFonts w:asciiTheme="minorHAnsi" w:hAnsiTheme="minorHAnsi" w:cs="Arial"/>
        </w:rPr>
      </w:pPr>
    </w:p>
    <w:p w:rsidR="0062632E" w:rsidRPr="00D952D4" w:rsidRDefault="006C5C70">
      <w:pPr>
        <w:ind w:left="360"/>
        <w:jc w:val="both"/>
        <w:rPr>
          <w:rFonts w:asciiTheme="minorHAnsi" w:hAnsiTheme="minorHAnsi" w:cs="Arial"/>
          <w:b/>
        </w:rPr>
      </w:pPr>
      <w:r w:rsidRPr="00D952D4">
        <w:rPr>
          <w:rFonts w:asciiTheme="minorHAnsi" w:hAnsiTheme="minorHAnsi" w:cs="Arial"/>
          <w:b/>
        </w:rPr>
        <w:t>Effective management of budgets</w:t>
      </w:r>
    </w:p>
    <w:p w:rsidR="0062632E" w:rsidRPr="00D952D4" w:rsidRDefault="0062632E">
      <w:pPr>
        <w:ind w:left="360"/>
        <w:jc w:val="both"/>
        <w:rPr>
          <w:rFonts w:asciiTheme="minorHAnsi" w:hAnsiTheme="minorHAnsi" w:cs="Arial"/>
          <w:b/>
        </w:rPr>
      </w:pPr>
    </w:p>
    <w:p w:rsidR="0062632E" w:rsidRPr="00D952D4" w:rsidRDefault="006C5C70" w:rsidP="00D952D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 xml:space="preserve">Rigorous annual budgeting </w:t>
      </w:r>
      <w:r w:rsidR="003327FE">
        <w:rPr>
          <w:rFonts w:asciiTheme="minorHAnsi" w:hAnsiTheme="minorHAnsi" w:cs="Arial"/>
        </w:rPr>
        <w:t>and budget monitoring processes</w:t>
      </w:r>
    </w:p>
    <w:p w:rsidR="001E26AC" w:rsidRDefault="001E26AC">
      <w:pPr>
        <w:jc w:val="both"/>
        <w:rPr>
          <w:rFonts w:asciiTheme="minorHAnsi" w:hAnsiTheme="minorHAnsi" w:cs="Arial"/>
        </w:rPr>
      </w:pPr>
    </w:p>
    <w:p w:rsidR="001E26AC" w:rsidRDefault="001E26AC">
      <w:pPr>
        <w:jc w:val="both"/>
        <w:rPr>
          <w:rFonts w:asciiTheme="minorHAnsi" w:hAnsiTheme="minorHAnsi" w:cs="Arial"/>
        </w:rPr>
      </w:pPr>
    </w:p>
    <w:p w:rsidR="00E30555" w:rsidRDefault="00E30555">
      <w:pPr>
        <w:jc w:val="both"/>
        <w:rPr>
          <w:rFonts w:asciiTheme="minorHAnsi" w:hAnsiTheme="minorHAnsi" w:cs="Arial"/>
        </w:rPr>
      </w:pPr>
    </w:p>
    <w:p w:rsidR="00E30555" w:rsidRDefault="00E30555">
      <w:pPr>
        <w:jc w:val="both"/>
        <w:rPr>
          <w:rFonts w:asciiTheme="minorHAnsi" w:hAnsiTheme="minorHAnsi" w:cs="Arial"/>
        </w:rPr>
      </w:pPr>
    </w:p>
    <w:p w:rsidR="00E30555" w:rsidRDefault="00E30555">
      <w:pPr>
        <w:jc w:val="both"/>
        <w:rPr>
          <w:rFonts w:asciiTheme="minorHAnsi" w:hAnsiTheme="minorHAnsi" w:cs="Arial"/>
        </w:rPr>
      </w:pPr>
    </w:p>
    <w:p w:rsidR="00E30555" w:rsidRDefault="00E30555">
      <w:pPr>
        <w:jc w:val="both"/>
        <w:rPr>
          <w:rFonts w:asciiTheme="minorHAnsi" w:hAnsiTheme="minorHAnsi" w:cs="Arial"/>
        </w:rPr>
      </w:pPr>
    </w:p>
    <w:p w:rsidR="00E30555" w:rsidRDefault="00E30555">
      <w:pPr>
        <w:jc w:val="both"/>
        <w:rPr>
          <w:rFonts w:asciiTheme="minorHAnsi" w:hAnsiTheme="minorHAnsi" w:cs="Arial"/>
        </w:rPr>
      </w:pPr>
    </w:p>
    <w:p w:rsidR="00E30555" w:rsidRDefault="00E30555">
      <w:pPr>
        <w:jc w:val="both"/>
        <w:rPr>
          <w:rFonts w:asciiTheme="minorHAnsi" w:hAnsiTheme="minorHAnsi" w:cs="Arial"/>
        </w:rPr>
      </w:pPr>
    </w:p>
    <w:p w:rsidR="00E30555" w:rsidRPr="00D952D4" w:rsidRDefault="00E30555">
      <w:pPr>
        <w:jc w:val="both"/>
        <w:rPr>
          <w:rFonts w:asciiTheme="minorHAnsi" w:hAnsiTheme="minorHAnsi" w:cs="Arial"/>
        </w:rPr>
      </w:pPr>
    </w:p>
    <w:p w:rsidR="0062632E" w:rsidRPr="00D952D4" w:rsidRDefault="006C5C70">
      <w:pPr>
        <w:ind w:left="360"/>
        <w:jc w:val="both"/>
        <w:rPr>
          <w:rFonts w:asciiTheme="minorHAnsi" w:hAnsiTheme="minorHAnsi" w:cs="Arial"/>
          <w:b/>
        </w:rPr>
      </w:pPr>
      <w:r w:rsidRPr="00D952D4">
        <w:rPr>
          <w:rFonts w:asciiTheme="minorHAnsi" w:hAnsiTheme="minorHAnsi" w:cs="Arial"/>
          <w:b/>
        </w:rPr>
        <w:t>Ensuring good practice and probity</w:t>
      </w:r>
    </w:p>
    <w:p w:rsidR="0062632E" w:rsidRPr="00D952D4" w:rsidRDefault="0062632E">
      <w:pPr>
        <w:jc w:val="both"/>
        <w:rPr>
          <w:rFonts w:asciiTheme="minorHAnsi" w:hAnsiTheme="minorHAnsi" w:cs="Arial"/>
          <w:b/>
        </w:rPr>
      </w:pPr>
    </w:p>
    <w:p w:rsidR="0062632E" w:rsidRPr="00D952D4" w:rsidRDefault="006C5C70" w:rsidP="00D952D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Recognise the statutory and corporate finance roles of the Education Funding Agency (EFA) in ensuring lawful and fina</w:t>
      </w:r>
      <w:r w:rsidR="003327FE">
        <w:rPr>
          <w:rFonts w:asciiTheme="minorHAnsi" w:hAnsiTheme="minorHAnsi" w:cs="Arial"/>
        </w:rPr>
        <w:t>ncially prudent decision making</w:t>
      </w:r>
    </w:p>
    <w:p w:rsidR="0062632E" w:rsidRPr="00D952D4" w:rsidRDefault="006C5C70" w:rsidP="00D952D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 xml:space="preserve">Provide annual external audit assessment for the board of Governors of all statutory financial statements of </w:t>
      </w:r>
      <w:r w:rsidR="00F17CD4" w:rsidRPr="00D952D4">
        <w:rPr>
          <w:rFonts w:asciiTheme="minorHAnsi" w:hAnsiTheme="minorHAnsi" w:cs="Arial"/>
        </w:rPr>
        <w:t>Ashton on Mersey SCITT</w:t>
      </w:r>
    </w:p>
    <w:p w:rsidR="0062632E" w:rsidRPr="00D952D4" w:rsidRDefault="006C5C70" w:rsidP="00D952D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Develop IT systems designed to enhance the provision of financial m</w:t>
      </w:r>
      <w:r w:rsidR="003327FE">
        <w:rPr>
          <w:rFonts w:asciiTheme="minorHAnsi" w:hAnsiTheme="minorHAnsi" w:cs="Arial"/>
        </w:rPr>
        <w:t>anagement information to users</w:t>
      </w:r>
    </w:p>
    <w:p w:rsidR="0062632E" w:rsidRPr="00D952D4" w:rsidRDefault="006C5C70" w:rsidP="00D952D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Maintain and work with the E</w:t>
      </w:r>
      <w:r w:rsidR="00E30555">
        <w:rPr>
          <w:rFonts w:asciiTheme="minorHAnsi" w:hAnsiTheme="minorHAnsi" w:cs="Arial"/>
        </w:rPr>
        <w:t>S</w:t>
      </w:r>
      <w:r w:rsidRPr="00D952D4">
        <w:rPr>
          <w:rFonts w:asciiTheme="minorHAnsi" w:hAnsiTheme="minorHAnsi" w:cs="Arial"/>
        </w:rPr>
        <w:t>FA to apply Financial Regulations and associated financial procedures in support of good practice in financial administration and corporat</w:t>
      </w:r>
      <w:r w:rsidR="003327FE">
        <w:rPr>
          <w:rFonts w:asciiTheme="minorHAnsi" w:hAnsiTheme="minorHAnsi" w:cs="Arial"/>
        </w:rPr>
        <w:t>e governance</w:t>
      </w:r>
    </w:p>
    <w:p w:rsidR="0062632E" w:rsidRPr="00D952D4" w:rsidRDefault="006C5C70" w:rsidP="00D952D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>Comply with the CIPFA ode of Pr</w:t>
      </w:r>
      <w:r w:rsidR="003327FE">
        <w:rPr>
          <w:rFonts w:asciiTheme="minorHAnsi" w:hAnsiTheme="minorHAnsi" w:cs="Arial"/>
        </w:rPr>
        <w:t>actice for treasury management</w:t>
      </w:r>
    </w:p>
    <w:p w:rsidR="0062632E" w:rsidRDefault="006C5C70" w:rsidP="00D952D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952D4">
        <w:rPr>
          <w:rFonts w:asciiTheme="minorHAnsi" w:hAnsiTheme="minorHAnsi" w:cs="Arial"/>
        </w:rPr>
        <w:t xml:space="preserve">Comply with accounting and audit standards contained in the relevant Academies Financial Handbook, Codes of Practice and CIPFA guidance. </w:t>
      </w:r>
    </w:p>
    <w:p w:rsidR="00E30555" w:rsidRDefault="00E30555" w:rsidP="00D952D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Comply with reporting and review requirements for governance, with an emphasis on the importance of addressing skills gaps</w:t>
      </w:r>
    </w:p>
    <w:p w:rsidR="00E30555" w:rsidRPr="00D952D4" w:rsidRDefault="00E30555" w:rsidP="00D952D4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board must develop a robust evidence-based process for ensuring their decisions on levels of executive pay reflect roles and responsibilities of individuals.</w:t>
      </w:r>
    </w:p>
    <w:p w:rsidR="00D952D4" w:rsidRPr="00D952D4" w:rsidRDefault="00D952D4" w:rsidP="00D952D4">
      <w:pPr>
        <w:jc w:val="both"/>
        <w:rPr>
          <w:rFonts w:asciiTheme="minorHAnsi" w:hAnsiTheme="minorHAnsi" w:cs="Arial"/>
        </w:rPr>
      </w:pPr>
    </w:p>
    <w:sectPr w:rsidR="00D952D4" w:rsidRPr="00D952D4" w:rsidSect="00AD64F0">
      <w:headerReference w:type="default" r:id="rId8"/>
      <w:footerReference w:type="default" r:id="rId9"/>
      <w:pgSz w:w="11907" w:h="16839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148" w:rsidRDefault="00B17148">
      <w:r>
        <w:separator/>
      </w:r>
    </w:p>
  </w:endnote>
  <w:endnote w:type="continuationSeparator" w:id="0">
    <w:p w:rsidR="00B17148" w:rsidRDefault="00B1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689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6624" w:rsidRDefault="00D86624" w:rsidP="00AD64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5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05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32E" w:rsidRDefault="00626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148" w:rsidRDefault="00B17148">
      <w:r>
        <w:separator/>
      </w:r>
    </w:p>
  </w:footnote>
  <w:footnote w:type="continuationSeparator" w:id="0">
    <w:p w:rsidR="00B17148" w:rsidRDefault="00B1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32E" w:rsidRDefault="006C1136">
    <w:pPr>
      <w:pStyle w:val="Header"/>
    </w:pPr>
    <w:r>
      <w:rPr>
        <w:noProof/>
      </w:rPr>
      <w:drawing>
        <wp:inline distT="0" distB="0" distL="0" distR="0" wp14:anchorId="65945A11" wp14:editId="07501C24">
          <wp:extent cx="1943100" cy="552450"/>
          <wp:effectExtent l="0" t="0" r="0" b="0"/>
          <wp:docPr id="3" name="Picture 3" descr="cid:image002.jpg@01D63F27.9614F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jpg@01D63F27.9614FA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5C70">
      <w:tab/>
    </w:r>
    <w:r w:rsidR="006C5C70">
      <w:tab/>
    </w:r>
  </w:p>
  <w:p w:rsidR="0062632E" w:rsidRDefault="006879E3" w:rsidP="006879E3">
    <w:pPr>
      <w:pStyle w:val="Header"/>
      <w:tabs>
        <w:tab w:val="clear" w:pos="9026"/>
        <w:tab w:val="left" w:pos="3570"/>
        <w:tab w:val="left" w:pos="4513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8B3"/>
    <w:multiLevelType w:val="hybridMultilevel"/>
    <w:tmpl w:val="1388C6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B7647A"/>
    <w:multiLevelType w:val="hybridMultilevel"/>
    <w:tmpl w:val="D9B8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E9B"/>
    <w:multiLevelType w:val="hybridMultilevel"/>
    <w:tmpl w:val="30D2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DCB"/>
    <w:multiLevelType w:val="hybridMultilevel"/>
    <w:tmpl w:val="0100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457D"/>
    <w:multiLevelType w:val="hybridMultilevel"/>
    <w:tmpl w:val="2196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D7D"/>
    <w:multiLevelType w:val="hybridMultilevel"/>
    <w:tmpl w:val="6646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E4C88"/>
    <w:multiLevelType w:val="hybridMultilevel"/>
    <w:tmpl w:val="9B7C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31FE"/>
    <w:multiLevelType w:val="hybridMultilevel"/>
    <w:tmpl w:val="423EB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16F5"/>
    <w:multiLevelType w:val="hybridMultilevel"/>
    <w:tmpl w:val="AF5C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5B32"/>
    <w:multiLevelType w:val="hybridMultilevel"/>
    <w:tmpl w:val="AF1E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61E"/>
    <w:multiLevelType w:val="hybridMultilevel"/>
    <w:tmpl w:val="86D8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C0396"/>
    <w:multiLevelType w:val="hybridMultilevel"/>
    <w:tmpl w:val="883A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69D1"/>
    <w:multiLevelType w:val="hybridMultilevel"/>
    <w:tmpl w:val="93908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0092"/>
    <w:multiLevelType w:val="hybridMultilevel"/>
    <w:tmpl w:val="FD3C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6106B"/>
    <w:multiLevelType w:val="hybridMultilevel"/>
    <w:tmpl w:val="F51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5A6C"/>
    <w:multiLevelType w:val="hybridMultilevel"/>
    <w:tmpl w:val="3224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61793"/>
    <w:multiLevelType w:val="hybridMultilevel"/>
    <w:tmpl w:val="2BE2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D626F"/>
    <w:multiLevelType w:val="hybridMultilevel"/>
    <w:tmpl w:val="823C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2838"/>
    <w:multiLevelType w:val="hybridMultilevel"/>
    <w:tmpl w:val="2D3263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92471B"/>
    <w:multiLevelType w:val="hybridMultilevel"/>
    <w:tmpl w:val="409E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6"/>
  </w:num>
  <w:num w:numId="14">
    <w:abstractNumId w:val="19"/>
  </w:num>
  <w:num w:numId="15">
    <w:abstractNumId w:val="12"/>
  </w:num>
  <w:num w:numId="16">
    <w:abstractNumId w:val="10"/>
  </w:num>
  <w:num w:numId="17">
    <w:abstractNumId w:val="16"/>
  </w:num>
  <w:num w:numId="18">
    <w:abstractNumId w:val="2"/>
  </w:num>
  <w:num w:numId="19">
    <w:abstractNumId w:val="8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2E"/>
    <w:rsid w:val="00024F30"/>
    <w:rsid w:val="000B346E"/>
    <w:rsid w:val="001E26AC"/>
    <w:rsid w:val="0020036E"/>
    <w:rsid w:val="00321245"/>
    <w:rsid w:val="003327FE"/>
    <w:rsid w:val="00522F3B"/>
    <w:rsid w:val="0059122A"/>
    <w:rsid w:val="005F0F42"/>
    <w:rsid w:val="0062632E"/>
    <w:rsid w:val="00670755"/>
    <w:rsid w:val="006879E3"/>
    <w:rsid w:val="006C1136"/>
    <w:rsid w:val="006C5C70"/>
    <w:rsid w:val="006F58D4"/>
    <w:rsid w:val="007A443C"/>
    <w:rsid w:val="00AD64F0"/>
    <w:rsid w:val="00B17148"/>
    <w:rsid w:val="00B33312"/>
    <w:rsid w:val="00BF341B"/>
    <w:rsid w:val="00C51A06"/>
    <w:rsid w:val="00C9063D"/>
    <w:rsid w:val="00CE1B8D"/>
    <w:rsid w:val="00CF2D6F"/>
    <w:rsid w:val="00D43FE5"/>
    <w:rsid w:val="00D86624"/>
    <w:rsid w:val="00D8775B"/>
    <w:rsid w:val="00D952D4"/>
    <w:rsid w:val="00E14497"/>
    <w:rsid w:val="00E30555"/>
    <w:rsid w:val="00F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43C04"/>
  <w15:docId w15:val="{311B1447-7E2A-4310-8A39-C372A6B6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/>
      <w:b/>
      <w:sz w:val="24"/>
      <w:u w:val="single"/>
      <w:lang w:val="en-US" w:eastAsia="en-US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odyText2">
    <w:name w:val="Body Text 2"/>
    <w:basedOn w:val="Normal"/>
    <w:link w:val="BodyText2Char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Pr>
      <w:rFonts w:ascii="Times New Roman" w:eastAsia="Times New Roman" w:hAnsi="Times New Roman"/>
      <w:sz w:val="24"/>
      <w:lang w:eastAsia="en-US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semiHidden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eastAsia="Times New Roman" w:hAnsi="Courier New"/>
      <w:lang w:eastAsia="en-US"/>
    </w:rPr>
  </w:style>
  <w:style w:type="paragraph" w:styleId="BodyTextIndent2">
    <w:name w:val="Body Text Indent 2"/>
    <w:basedOn w:val="Normal"/>
    <w:link w:val="BodyTextIndent2Char"/>
    <w:semiHidden/>
    <w:pPr>
      <w:ind w:left="1440" w:hanging="144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Times New Roman" w:eastAsia="Times New Roman" w:hAnsi="Times New Roman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879E3"/>
    <w:rPr>
      <w:rFonts w:ascii="Arial" w:eastAsiaTheme="minorHAnsi" w:hAnsi="Arial" w:cs="Arial"/>
      <w:sz w:val="24"/>
      <w:szCs w:val="24"/>
      <w:lang w:val="en-US" w:eastAsia="en-GB"/>
    </w:rPr>
  </w:style>
  <w:style w:type="paragraph" w:customStyle="1" w:styleId="Default">
    <w:name w:val="Default"/>
    <w:rsid w:val="006879E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94E4-2D4A-4C8A-9779-4C0C8167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lreid</dc:creator>
  <cp:lastModifiedBy>Samantha Buckley</cp:lastModifiedBy>
  <cp:revision>2</cp:revision>
  <cp:lastPrinted>2016-05-20T13:22:00Z</cp:lastPrinted>
  <dcterms:created xsi:type="dcterms:W3CDTF">2021-10-12T14:31:00Z</dcterms:created>
  <dcterms:modified xsi:type="dcterms:W3CDTF">2021-10-12T14:31:00Z</dcterms:modified>
</cp:coreProperties>
</file>